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A1053" w14:textId="77777777" w:rsidR="00FC5C99" w:rsidRDefault="00FC5C99">
      <w:pPr>
        <w:pBdr>
          <w:top w:val="nil"/>
          <w:left w:val="nil"/>
          <w:bottom w:val="nil"/>
          <w:right w:val="nil"/>
          <w:between w:val="nil"/>
        </w:pBdr>
        <w:jc w:val="center"/>
        <w:rPr>
          <w:rFonts w:ascii="Times New Roman" w:eastAsia="Times New Roman" w:hAnsi="Times New Roman" w:cs="Times New Roman"/>
          <w:b/>
          <w:bCs/>
        </w:rPr>
      </w:pPr>
    </w:p>
    <w:p w14:paraId="033143E1" w14:textId="77777777" w:rsidR="00FC5C99" w:rsidRDefault="00000000">
      <w:pPr>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b/>
          <w:bCs/>
          <w:color w:val="000000"/>
        </w:rPr>
        <w:t>I Jornadas Nacionales de Derecho Judicial</w:t>
      </w:r>
    </w:p>
    <w:p w14:paraId="1405CEA8" w14:textId="77777777" w:rsidR="00FC5C99" w:rsidRDefault="00000000">
      <w:pPr>
        <w:pBdr>
          <w:top w:val="nil"/>
          <w:left w:val="nil"/>
          <w:bottom w:val="nil"/>
          <w:right w:val="nil"/>
          <w:between w:val="nil"/>
        </w:pBdr>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Derecho judicial: </w:t>
      </w:r>
      <w:r>
        <w:rPr>
          <w:rFonts w:ascii="Times New Roman" w:eastAsia="Times New Roman" w:hAnsi="Times New Roman" w:cs="Times New Roman"/>
          <w:b/>
          <w:bCs/>
        </w:rPr>
        <w:t>Organización judicial</w:t>
      </w:r>
      <w:r>
        <w:rPr>
          <w:rFonts w:ascii="Times New Roman" w:eastAsia="Times New Roman" w:hAnsi="Times New Roman" w:cs="Times New Roman"/>
          <w:b/>
          <w:bCs/>
          <w:color w:val="000000"/>
        </w:rPr>
        <w:t>, ética, jurisprudencia, razonamiento y nuevas tecnologías</w:t>
      </w:r>
    </w:p>
    <w:p w14:paraId="3DD5B430" w14:textId="77777777" w:rsidR="00FC5C99" w:rsidRDefault="00FC5C99">
      <w:pPr>
        <w:pBdr>
          <w:top w:val="nil"/>
          <w:left w:val="nil"/>
          <w:bottom w:val="nil"/>
          <w:right w:val="nil"/>
          <w:between w:val="nil"/>
        </w:pBdr>
        <w:jc w:val="center"/>
        <w:rPr>
          <w:rFonts w:ascii="Times New Roman" w:eastAsia="Times New Roman" w:hAnsi="Times New Roman" w:cs="Times New Roman"/>
          <w:b/>
          <w:bCs/>
        </w:rPr>
      </w:pPr>
    </w:p>
    <w:p w14:paraId="4A6E65E9" w14:textId="77777777" w:rsidR="00FC5C99" w:rsidRDefault="00FC5C99">
      <w:pPr>
        <w:pBdr>
          <w:top w:val="nil"/>
          <w:left w:val="nil"/>
          <w:bottom w:val="nil"/>
          <w:right w:val="nil"/>
          <w:between w:val="nil"/>
        </w:pBdr>
        <w:ind w:firstLine="720"/>
        <w:rPr>
          <w:rFonts w:ascii="Times New Roman" w:eastAsia="Times New Roman" w:hAnsi="Times New Roman" w:cs="Times New Roman"/>
          <w:b/>
          <w:bCs/>
        </w:rPr>
      </w:pPr>
    </w:p>
    <w:p w14:paraId="084878A2" w14:textId="77777777" w:rsidR="00FC5C99" w:rsidRDefault="00000000">
      <w:pPr>
        <w:pBdr>
          <w:top w:val="nil"/>
          <w:left w:val="nil"/>
          <w:bottom w:val="nil"/>
          <w:right w:val="nil"/>
          <w:between w:val="nil"/>
        </w:pBdr>
        <w:ind w:firstLine="720"/>
        <w:rPr>
          <w:rFonts w:ascii="Times New Roman" w:eastAsia="Times New Roman" w:hAnsi="Times New Roman" w:cs="Times New Roman"/>
          <w:b/>
          <w:bCs/>
          <w:color w:val="000000"/>
        </w:rPr>
      </w:pPr>
      <w:r>
        <w:rPr>
          <w:rFonts w:ascii="Times New Roman" w:eastAsia="Times New Roman" w:hAnsi="Times New Roman" w:cs="Times New Roman"/>
          <w:b/>
          <w:bCs/>
          <w:color w:val="000000"/>
        </w:rPr>
        <w:t>Presentación</w:t>
      </w:r>
    </w:p>
    <w:p w14:paraId="5F48A249" w14:textId="77777777" w:rsidR="00FC5C99" w:rsidRDefault="00FC5C99">
      <w:pPr>
        <w:pBdr>
          <w:top w:val="nil"/>
          <w:left w:val="nil"/>
          <w:bottom w:val="nil"/>
          <w:right w:val="nil"/>
          <w:between w:val="nil"/>
        </w:pBdr>
        <w:ind w:firstLine="720"/>
        <w:rPr>
          <w:rFonts w:ascii="Times New Roman" w:eastAsia="Times New Roman" w:hAnsi="Times New Roman" w:cs="Times New Roman"/>
          <w:b/>
          <w:bCs/>
        </w:rPr>
      </w:pPr>
    </w:p>
    <w:p w14:paraId="0086B6A5"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La Universidad de Los Lagos, la Universidad de Tarapacá</w:t>
      </w:r>
      <w:r>
        <w:rPr>
          <w:rFonts w:ascii="Times New Roman" w:eastAsia="Times New Roman" w:hAnsi="Times New Roman" w:cs="Times New Roman"/>
        </w:rPr>
        <w:t xml:space="preserve">, en conjunto con la Asociación Regional de Magistrados Valdivia-Osorno y </w:t>
      </w:r>
      <w:r>
        <w:rPr>
          <w:rFonts w:ascii="Times New Roman" w:eastAsia="Times New Roman" w:hAnsi="Times New Roman" w:cs="Times New Roman"/>
          <w:color w:val="000000"/>
        </w:rPr>
        <w:t>el auspicio del Instituto de Estudios Judiciales; invitan a la comunidad académica y profesional</w:t>
      </w:r>
      <w:r>
        <w:rPr>
          <w:rFonts w:ascii="Times New Roman" w:eastAsia="Times New Roman" w:hAnsi="Times New Roman" w:cs="Times New Roman"/>
        </w:rPr>
        <w:t xml:space="preserve">; y a las organizaciones de la sociedad civil, </w:t>
      </w:r>
      <w:r>
        <w:rPr>
          <w:rFonts w:ascii="Times New Roman" w:eastAsia="Times New Roman" w:hAnsi="Times New Roman" w:cs="Times New Roman"/>
          <w:color w:val="000000"/>
        </w:rPr>
        <w:t>a participar en las I Jornadas Nacionales de Derecho Judicial</w:t>
      </w:r>
      <w:r>
        <w:rPr>
          <w:rFonts w:ascii="Times New Roman" w:eastAsia="Times New Roman" w:hAnsi="Times New Roman" w:cs="Times New Roman"/>
        </w:rPr>
        <w:t xml:space="preserve"> que se desarrollarán </w:t>
      </w:r>
      <w:r>
        <w:rPr>
          <w:rFonts w:ascii="Times New Roman" w:eastAsia="Times New Roman" w:hAnsi="Times New Roman" w:cs="Times New Roman"/>
          <w:color w:val="000000"/>
        </w:rPr>
        <w:t>en su primer</w:t>
      </w:r>
      <w:r>
        <w:rPr>
          <w:rFonts w:ascii="Times New Roman" w:eastAsia="Times New Roman" w:hAnsi="Times New Roman" w:cs="Times New Roman"/>
        </w:rPr>
        <w:t xml:space="preserve">a versión, en la ciudad de Osorno, los </w:t>
      </w:r>
      <w:proofErr w:type="gramStart"/>
      <w:r>
        <w:rPr>
          <w:rFonts w:ascii="Times New Roman" w:eastAsia="Times New Roman" w:hAnsi="Times New Roman" w:cs="Times New Roman"/>
        </w:rPr>
        <w:t>días viernes</w:t>
      </w:r>
      <w:proofErr w:type="gramEnd"/>
      <w:r>
        <w:rPr>
          <w:rFonts w:ascii="Times New Roman" w:eastAsia="Times New Roman" w:hAnsi="Times New Roman" w:cs="Times New Roman"/>
        </w:rPr>
        <w:t xml:space="preserve"> 23 y sábado 24 de octubre de 2026.</w:t>
      </w:r>
      <w:r>
        <w:rPr>
          <w:rFonts w:ascii="Times New Roman" w:eastAsia="Times New Roman" w:hAnsi="Times New Roman" w:cs="Times New Roman"/>
          <w:color w:val="000000"/>
        </w:rPr>
        <w:t xml:space="preserve"> </w:t>
      </w:r>
      <w:r>
        <w:rPr>
          <w:rFonts w:ascii="Times New Roman" w:eastAsia="Times New Roman" w:hAnsi="Times New Roman" w:cs="Times New Roman"/>
        </w:rPr>
        <w:t xml:space="preserve">El </w:t>
      </w:r>
      <w:r>
        <w:rPr>
          <w:rFonts w:ascii="Times New Roman" w:eastAsia="Times New Roman" w:hAnsi="Times New Roman" w:cs="Times New Roman"/>
          <w:color w:val="000000"/>
        </w:rPr>
        <w:t>eje central de las j</w:t>
      </w:r>
      <w:r>
        <w:rPr>
          <w:rFonts w:ascii="Times New Roman" w:eastAsia="Times New Roman" w:hAnsi="Times New Roman" w:cs="Times New Roman"/>
        </w:rPr>
        <w:t xml:space="preserve">ornadas </w:t>
      </w:r>
      <w:r>
        <w:rPr>
          <w:rFonts w:ascii="Times New Roman" w:eastAsia="Times New Roman" w:hAnsi="Times New Roman" w:cs="Times New Roman"/>
          <w:color w:val="000000"/>
        </w:rPr>
        <w:t>es el análisis de los desafíos actuales del derecho judicial, con especial atención al gobierno judicial, la ética y el régimen disciplinario, el razonamiento judicial, la jurisprudencia y el impacto de las nuevas tecnologías en la función jurisdiccional.</w:t>
      </w:r>
    </w:p>
    <w:p w14:paraId="4B198F8A"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Estas jornadas buscan reunir a jueces, juezas, demás operadores jurídicos y académicos nacionales e internacionales para discutir, desde una perspectiva teórica y práctica, los problemas contemporáneos de</w:t>
      </w:r>
      <w:r>
        <w:rPr>
          <w:rFonts w:ascii="Times New Roman" w:eastAsia="Times New Roman" w:hAnsi="Times New Roman" w:cs="Times New Roman"/>
        </w:rPr>
        <w:t xml:space="preserve"> la organización de la judicatura, su funcionamiento y el desarrollo jurisprudencial del sistema </w:t>
      </w:r>
      <w:r>
        <w:rPr>
          <w:rFonts w:ascii="Times New Roman" w:eastAsia="Times New Roman" w:hAnsi="Times New Roman" w:cs="Times New Roman"/>
          <w:color w:val="000000"/>
        </w:rPr>
        <w:t>judicial chileno. Se pretende, asimismo, contribuir a la formación de una comunidad jurídica especializada en estos temas, capaz de identificar con mayor precisión los problemas que enfrenta la actividad jurisdiccional y proponer respuestas más eficaces y fundadas.</w:t>
      </w:r>
    </w:p>
    <w:p w14:paraId="2EA4726F"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rPr>
      </w:pPr>
      <w:r>
        <w:rPr>
          <w:rFonts w:ascii="Times New Roman" w:eastAsia="Times New Roman" w:hAnsi="Times New Roman" w:cs="Times New Roman"/>
          <w:color w:val="000000"/>
        </w:rPr>
        <w:t xml:space="preserve">El evento ofrecerá conferencias magistrales y mesas de trabajo en las que se discutirán </w:t>
      </w:r>
      <w:r>
        <w:rPr>
          <w:rFonts w:ascii="Times New Roman" w:eastAsia="Times New Roman" w:hAnsi="Times New Roman" w:cs="Times New Roman"/>
        </w:rPr>
        <w:t xml:space="preserve">ponencias académicas </w:t>
      </w:r>
      <w:r>
        <w:rPr>
          <w:rFonts w:ascii="Times New Roman" w:eastAsia="Times New Roman" w:hAnsi="Times New Roman" w:cs="Times New Roman"/>
          <w:color w:val="000000"/>
        </w:rPr>
        <w:t xml:space="preserve">relevantes para cada temática. En este marco, se invita a la comunidad jurídica nacional e internacional a enviar resúmenes de ponencias para ser presentadas y debatidas en las mesas de trabajo de las Jornadas. Adicionalmente, la actividad </w:t>
      </w:r>
      <w:r>
        <w:rPr>
          <w:rFonts w:ascii="Times New Roman" w:eastAsia="Times New Roman" w:hAnsi="Times New Roman" w:cs="Times New Roman"/>
        </w:rPr>
        <w:t>contempla</w:t>
      </w:r>
      <w:r>
        <w:rPr>
          <w:rFonts w:ascii="Times New Roman" w:eastAsia="Times New Roman" w:hAnsi="Times New Roman" w:cs="Times New Roman"/>
          <w:color w:val="000000"/>
        </w:rPr>
        <w:t xml:space="preserve"> </w:t>
      </w:r>
      <w:r>
        <w:rPr>
          <w:rFonts w:ascii="Times New Roman" w:eastAsia="Times New Roman" w:hAnsi="Times New Roman" w:cs="Times New Roman"/>
        </w:rPr>
        <w:t>el desarrollo talleres o workshops con organizaciones de la sociedad civil, que buscarán conectar a la judicatura y la academia, con los requerimientos que la comunidad propone a su sistema judicial.</w:t>
      </w:r>
    </w:p>
    <w:p w14:paraId="75C6CE55" w14:textId="77777777" w:rsidR="00FC5C99" w:rsidRDefault="00FC5C99">
      <w:pPr>
        <w:pBdr>
          <w:top w:val="nil"/>
          <w:left w:val="nil"/>
          <w:bottom w:val="nil"/>
          <w:right w:val="nil"/>
          <w:between w:val="nil"/>
        </w:pBdr>
        <w:jc w:val="both"/>
        <w:rPr>
          <w:rFonts w:ascii="Times New Roman" w:eastAsia="Times New Roman" w:hAnsi="Times New Roman" w:cs="Times New Roman"/>
        </w:rPr>
      </w:pPr>
    </w:p>
    <w:p w14:paraId="66E6940E" w14:textId="77777777" w:rsidR="00FC5C99" w:rsidRDefault="00FC5C99">
      <w:pPr>
        <w:pBdr>
          <w:top w:val="nil"/>
          <w:left w:val="nil"/>
          <w:bottom w:val="nil"/>
          <w:right w:val="nil"/>
          <w:between w:val="nil"/>
        </w:pBdr>
        <w:jc w:val="both"/>
        <w:rPr>
          <w:rFonts w:ascii="Times New Roman" w:eastAsia="Times New Roman" w:hAnsi="Times New Roman" w:cs="Times New Roman"/>
        </w:rPr>
      </w:pPr>
    </w:p>
    <w:p w14:paraId="36CABC9F"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Temáticas para ponencias académicas*:</w:t>
      </w:r>
    </w:p>
    <w:p w14:paraId="1AB2E9F1" w14:textId="77777777" w:rsidR="00FC5C99" w:rsidRDefault="00FC5C99">
      <w:pPr>
        <w:pBdr>
          <w:top w:val="nil"/>
          <w:left w:val="nil"/>
          <w:bottom w:val="nil"/>
          <w:right w:val="nil"/>
          <w:between w:val="nil"/>
        </w:pBdr>
        <w:jc w:val="both"/>
        <w:rPr>
          <w:rFonts w:ascii="Times New Roman" w:eastAsia="Times New Roman" w:hAnsi="Times New Roman" w:cs="Times New Roman"/>
          <w:b/>
          <w:bCs/>
        </w:rPr>
      </w:pPr>
    </w:p>
    <w:p w14:paraId="5CC595A5"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Se invita al envío de resúmenes de ponencias en las siguientes áreas temáticas del derecho judicial:</w:t>
      </w:r>
    </w:p>
    <w:p w14:paraId="230AC5A4" w14:textId="77777777" w:rsidR="00FC5C99"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rPr>
        <w:t xml:space="preserve">Organización </w:t>
      </w:r>
      <w:r>
        <w:rPr>
          <w:rFonts w:ascii="Times New Roman" w:eastAsia="Times New Roman" w:hAnsi="Times New Roman" w:cs="Times New Roman"/>
          <w:color w:val="000000"/>
        </w:rPr>
        <w:t>judicial</w:t>
      </w:r>
      <w:r>
        <w:rPr>
          <w:rFonts w:ascii="Times New Roman" w:eastAsia="Times New Roman" w:hAnsi="Times New Roman" w:cs="Times New Roman"/>
        </w:rPr>
        <w:t xml:space="preserve">: Gobierno judicial, nombramientos judiciales, formación y capacitación judicial, independencia judicial, </w:t>
      </w:r>
      <w:proofErr w:type="spellStart"/>
      <w:r>
        <w:rPr>
          <w:rFonts w:ascii="Times New Roman" w:eastAsia="Times New Roman" w:hAnsi="Times New Roman" w:cs="Times New Roman"/>
        </w:rPr>
        <w:t>accountability</w:t>
      </w:r>
      <w:proofErr w:type="spellEnd"/>
      <w:r>
        <w:rPr>
          <w:rFonts w:ascii="Times New Roman" w:eastAsia="Times New Roman" w:hAnsi="Times New Roman" w:cs="Times New Roman"/>
        </w:rPr>
        <w:t xml:space="preserve"> judicial, gestión judicial, cultura judicial etc.</w:t>
      </w:r>
    </w:p>
    <w:p w14:paraId="6F4CF13A" w14:textId="77777777" w:rsidR="00FC5C99"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Ética judicial y régimen disciplinario judicial.</w:t>
      </w:r>
    </w:p>
    <w:p w14:paraId="75CF374D" w14:textId="77777777" w:rsidR="00FC5C99"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Análisis de jurisprudenci</w:t>
      </w:r>
      <w:r>
        <w:rPr>
          <w:rFonts w:ascii="Times New Roman" w:eastAsia="Times New Roman" w:hAnsi="Times New Roman" w:cs="Times New Roman"/>
        </w:rPr>
        <w:t>a: Líneas jurisprudenciales asentadas o ausencia de éstas, discusión de sentencias relevantes o innovadoras en materias de Derecho Privado o Público.</w:t>
      </w:r>
    </w:p>
    <w:p w14:paraId="29898121" w14:textId="77777777" w:rsidR="00FC5C99"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Razonamiento judicial</w:t>
      </w:r>
      <w:r>
        <w:rPr>
          <w:rFonts w:ascii="Times New Roman" w:eastAsia="Times New Roman" w:hAnsi="Times New Roman" w:cs="Times New Roman"/>
        </w:rPr>
        <w:t>: Argumentación judicial, razonamiento probatorio, sistemas de valoración probatoria y distribución de la carga de la prueba.</w:t>
      </w:r>
    </w:p>
    <w:p w14:paraId="1B2BA815" w14:textId="77777777" w:rsidR="00FC5C99"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Jurisdicción y nuevas tecnologías. Mecanismos de justicia online, desafíos oportunidades de la Inteligencia Artificial en el ámbito judicial, etc.</w:t>
      </w:r>
    </w:p>
    <w:p w14:paraId="74DBDFFA" w14:textId="77777777" w:rsidR="00FC5C99" w:rsidRDefault="00FC5C99">
      <w:pPr>
        <w:pBdr>
          <w:top w:val="nil"/>
          <w:left w:val="nil"/>
          <w:bottom w:val="nil"/>
          <w:right w:val="nil"/>
          <w:between w:val="nil"/>
        </w:pBdr>
        <w:ind w:left="720"/>
        <w:jc w:val="both"/>
        <w:rPr>
          <w:rFonts w:ascii="Times New Roman" w:eastAsia="Times New Roman" w:hAnsi="Times New Roman" w:cs="Times New Roman"/>
        </w:rPr>
      </w:pPr>
    </w:p>
    <w:p w14:paraId="322C7C6C" w14:textId="77777777" w:rsidR="00FC5C99" w:rsidRDefault="00FC5C99">
      <w:pPr>
        <w:pBdr>
          <w:top w:val="nil"/>
          <w:left w:val="nil"/>
          <w:bottom w:val="nil"/>
          <w:right w:val="nil"/>
          <w:between w:val="nil"/>
        </w:pBdr>
        <w:ind w:left="720"/>
        <w:jc w:val="both"/>
        <w:rPr>
          <w:rFonts w:ascii="Times New Roman" w:eastAsia="Times New Roman" w:hAnsi="Times New Roman" w:cs="Times New Roman"/>
        </w:rPr>
      </w:pPr>
    </w:p>
    <w:p w14:paraId="6FAE05C9"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b/>
          <w:bCs/>
        </w:rPr>
      </w:pPr>
      <w:r>
        <w:rPr>
          <w:rFonts w:ascii="Times New Roman" w:eastAsia="Times New Roman" w:hAnsi="Times New Roman" w:cs="Times New Roman"/>
          <w:b/>
          <w:bCs/>
          <w:color w:val="000000"/>
        </w:rPr>
        <w:t>Instrucciones para e</w:t>
      </w:r>
      <w:r>
        <w:rPr>
          <w:rFonts w:ascii="Times New Roman" w:eastAsia="Times New Roman" w:hAnsi="Times New Roman" w:cs="Times New Roman"/>
          <w:b/>
          <w:bCs/>
        </w:rPr>
        <w:t>nvío de ponencias académicas*</w:t>
      </w:r>
    </w:p>
    <w:p w14:paraId="0220E5F6" w14:textId="77777777" w:rsidR="00FC5C99" w:rsidRDefault="00FC5C99">
      <w:pPr>
        <w:pBdr>
          <w:top w:val="nil"/>
          <w:left w:val="nil"/>
          <w:bottom w:val="nil"/>
          <w:right w:val="nil"/>
          <w:between w:val="nil"/>
        </w:pBdr>
        <w:ind w:firstLine="720"/>
        <w:jc w:val="both"/>
        <w:rPr>
          <w:rFonts w:ascii="Times New Roman" w:eastAsia="Times New Roman" w:hAnsi="Times New Roman" w:cs="Times New Roman"/>
          <w:b/>
          <w:bCs/>
        </w:rPr>
      </w:pPr>
    </w:p>
    <w:p w14:paraId="4322BE19"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Las personas interesadas en participar deberán enviar un resumen de su ponencia, de no más de 500 palabras, que incluya al menos los siguientes elementos: título de la ponencia; nombre y afiliación institucional del autor o autora; objetivo principal del trabajo; explicación concisa de los métodos o enfoques utilizados; y una síntesis de las principales conclusiones o aportes de la investigación o reflexión propuesta.</w:t>
      </w:r>
    </w:p>
    <w:p w14:paraId="26E3939C" w14:textId="77777777" w:rsidR="00FC5C99" w:rsidRDefault="00FC5C99">
      <w:pPr>
        <w:pBdr>
          <w:top w:val="nil"/>
          <w:left w:val="nil"/>
          <w:bottom w:val="nil"/>
          <w:right w:val="nil"/>
          <w:between w:val="nil"/>
        </w:pBdr>
        <w:ind w:firstLine="720"/>
        <w:jc w:val="both"/>
        <w:rPr>
          <w:rFonts w:ascii="Times New Roman" w:eastAsia="Times New Roman" w:hAnsi="Times New Roman" w:cs="Times New Roman"/>
        </w:rPr>
      </w:pPr>
    </w:p>
    <w:p w14:paraId="03A29FF1" w14:textId="77777777" w:rsidR="00FC5C99" w:rsidRDefault="00FC5C99">
      <w:pPr>
        <w:pBdr>
          <w:top w:val="nil"/>
          <w:left w:val="nil"/>
          <w:bottom w:val="nil"/>
          <w:right w:val="nil"/>
          <w:between w:val="nil"/>
        </w:pBdr>
        <w:ind w:firstLine="720"/>
        <w:jc w:val="both"/>
        <w:rPr>
          <w:rFonts w:ascii="Times New Roman" w:eastAsia="Times New Roman" w:hAnsi="Times New Roman" w:cs="Times New Roman"/>
        </w:rPr>
      </w:pPr>
    </w:p>
    <w:p w14:paraId="10DE92FB"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Plazos y envío</w:t>
      </w:r>
    </w:p>
    <w:p w14:paraId="45B96406" w14:textId="77777777" w:rsidR="00FC5C99" w:rsidRDefault="00FC5C99">
      <w:pPr>
        <w:pBdr>
          <w:top w:val="nil"/>
          <w:left w:val="nil"/>
          <w:bottom w:val="nil"/>
          <w:right w:val="nil"/>
          <w:between w:val="nil"/>
        </w:pBdr>
        <w:jc w:val="both"/>
        <w:rPr>
          <w:rFonts w:ascii="Times New Roman" w:eastAsia="Times New Roman" w:hAnsi="Times New Roman" w:cs="Times New Roman"/>
        </w:rPr>
      </w:pPr>
    </w:p>
    <w:p w14:paraId="743F26E6" w14:textId="4F0CF199" w:rsidR="00FC5C99" w:rsidRDefault="00000000">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Los resúmenes deben ser enviados antes del </w:t>
      </w:r>
      <w:r>
        <w:rPr>
          <w:rFonts w:ascii="Times New Roman" w:eastAsia="Times New Roman" w:hAnsi="Times New Roman" w:cs="Times New Roman"/>
        </w:rPr>
        <w:t>09 de agosto</w:t>
      </w:r>
      <w:r>
        <w:rPr>
          <w:rFonts w:ascii="Times New Roman" w:eastAsia="Times New Roman" w:hAnsi="Times New Roman" w:cs="Times New Roman"/>
          <w:color w:val="000000"/>
        </w:rPr>
        <w:t xml:space="preserve"> de 2026 al </w:t>
      </w:r>
      <w:r w:rsidR="00B16F31">
        <w:rPr>
          <w:rFonts w:ascii="Times New Roman" w:eastAsia="Times New Roman" w:hAnsi="Times New Roman" w:cs="Times New Roman"/>
          <w:color w:val="000000"/>
        </w:rPr>
        <w:t xml:space="preserve">formulario </w:t>
      </w:r>
      <w:r w:rsidR="00B16F31" w:rsidRPr="00B16F31">
        <w:rPr>
          <w:rFonts w:ascii="Times New Roman" w:eastAsia="Times New Roman" w:hAnsi="Times New Roman" w:cs="Times New Roman"/>
          <w:color w:val="000000"/>
        </w:rPr>
        <w:t>https://forms.gle/mf8zrDmtV4H2UQEL6</w:t>
      </w:r>
      <w:r>
        <w:rPr>
          <w:rFonts w:ascii="Times New Roman" w:eastAsia="Times New Roman" w:hAnsi="Times New Roman" w:cs="Times New Roman"/>
          <w:color w:val="000000"/>
        </w:rPr>
        <w:t xml:space="preserve">. </w:t>
      </w:r>
    </w:p>
    <w:p w14:paraId="330A786F" w14:textId="77777777" w:rsidR="00B16F31" w:rsidRDefault="00B16F31">
      <w:pPr>
        <w:pBdr>
          <w:top w:val="nil"/>
          <w:left w:val="nil"/>
          <w:bottom w:val="nil"/>
          <w:right w:val="nil"/>
          <w:between w:val="nil"/>
        </w:pBdr>
        <w:ind w:firstLine="720"/>
        <w:jc w:val="both"/>
        <w:rPr>
          <w:rFonts w:ascii="Times New Roman" w:eastAsia="Times New Roman" w:hAnsi="Times New Roman" w:cs="Times New Roman"/>
          <w:color w:val="000000"/>
        </w:rPr>
      </w:pPr>
    </w:p>
    <w:p w14:paraId="35C434E6" w14:textId="77777777" w:rsidR="00FC5C99" w:rsidRDefault="00000000">
      <w:pPr>
        <w:pBdr>
          <w:top w:val="nil"/>
          <w:left w:val="nil"/>
          <w:bottom w:val="nil"/>
          <w:right w:val="nil"/>
          <w:between w:val="nil"/>
        </w:pBdr>
        <w:jc w:val="both"/>
        <w:rPr>
          <w:rFonts w:ascii="Times New Roman" w:eastAsia="Times New Roman" w:hAnsi="Times New Roman" w:cs="Times New Roman"/>
        </w:rPr>
      </w:pPr>
      <w:r>
        <w:rPr>
          <w:rFonts w:ascii="Times New Roman" w:eastAsia="Times New Roman" w:hAnsi="Times New Roman" w:cs="Times New Roman"/>
          <w:color w:val="000000"/>
        </w:rPr>
        <w:t xml:space="preserve">Las y los autores de las ponencias aceptadas serán notificados antes del </w:t>
      </w:r>
      <w:r>
        <w:rPr>
          <w:rFonts w:ascii="Times New Roman" w:eastAsia="Times New Roman" w:hAnsi="Times New Roman" w:cs="Times New Roman"/>
        </w:rPr>
        <w:t>16 de agosto de 2026.</w:t>
      </w:r>
    </w:p>
    <w:p w14:paraId="432E323F" w14:textId="77777777" w:rsidR="00FC5C99" w:rsidRDefault="00FC5C99">
      <w:pPr>
        <w:pBdr>
          <w:top w:val="nil"/>
          <w:left w:val="nil"/>
          <w:bottom w:val="nil"/>
          <w:right w:val="nil"/>
          <w:between w:val="nil"/>
        </w:pBdr>
        <w:jc w:val="both"/>
        <w:rPr>
          <w:rFonts w:ascii="Times New Roman" w:eastAsia="Times New Roman" w:hAnsi="Times New Roman" w:cs="Times New Roman"/>
          <w:b/>
          <w:bCs/>
        </w:rPr>
      </w:pPr>
    </w:p>
    <w:p w14:paraId="5E4A7ACB" w14:textId="77777777" w:rsidR="00FC5C99" w:rsidRDefault="00FC5C99">
      <w:pPr>
        <w:pBdr>
          <w:top w:val="nil"/>
          <w:left w:val="nil"/>
          <w:bottom w:val="nil"/>
          <w:right w:val="nil"/>
          <w:between w:val="nil"/>
        </w:pBdr>
        <w:jc w:val="both"/>
        <w:rPr>
          <w:rFonts w:ascii="Times New Roman" w:eastAsia="Times New Roman" w:hAnsi="Times New Roman" w:cs="Times New Roman"/>
          <w:b/>
          <w:bCs/>
        </w:rPr>
      </w:pPr>
    </w:p>
    <w:p w14:paraId="6A55AAC4"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b/>
          <w:bCs/>
          <w:color w:val="000000"/>
        </w:rPr>
      </w:pPr>
      <w:r>
        <w:rPr>
          <w:rFonts w:ascii="Times New Roman" w:eastAsia="Times New Roman" w:hAnsi="Times New Roman" w:cs="Times New Roman"/>
          <w:b/>
          <w:bCs/>
          <w:color w:val="000000"/>
        </w:rPr>
        <w:t>Contacto</w:t>
      </w:r>
    </w:p>
    <w:p w14:paraId="7385060E" w14:textId="77777777" w:rsidR="00FC5C99" w:rsidRDefault="00000000">
      <w:pPr>
        <w:pBdr>
          <w:top w:val="nil"/>
          <w:left w:val="nil"/>
          <w:bottom w:val="nil"/>
          <w:right w:val="nil"/>
          <w:between w:val="nil"/>
        </w:pBdr>
        <w:ind w:firstLine="720"/>
        <w:jc w:val="both"/>
        <w:rPr>
          <w:rFonts w:ascii="Times New Roman" w:eastAsia="Times New Roman" w:hAnsi="Times New Roman" w:cs="Times New Roman"/>
          <w:b/>
          <w:bCs/>
        </w:rPr>
      </w:pPr>
      <w:r>
        <w:rPr>
          <w:rFonts w:ascii="Times New Roman" w:eastAsia="Times New Roman" w:hAnsi="Times New Roman" w:cs="Times New Roman"/>
          <w:b/>
          <w:bCs/>
        </w:rPr>
        <w:tab/>
      </w:r>
    </w:p>
    <w:p w14:paraId="514633A8" w14:textId="7DCD6DF4" w:rsidR="00FC5C99" w:rsidRDefault="00000000">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Para más información sobre las I Jornadas Nacionales de Derecho Judicial y el proceso de presentación de trabajos, puede contactarse con l</w:t>
      </w:r>
      <w:r>
        <w:rPr>
          <w:rFonts w:ascii="Times New Roman" w:eastAsia="Times New Roman" w:hAnsi="Times New Roman" w:cs="Times New Roman"/>
        </w:rPr>
        <w:t xml:space="preserve">a organización del evento </w:t>
      </w:r>
      <w:r>
        <w:rPr>
          <w:rFonts w:ascii="Times New Roman" w:eastAsia="Times New Roman" w:hAnsi="Times New Roman" w:cs="Times New Roman"/>
          <w:color w:val="000000"/>
        </w:rPr>
        <w:t>a través del correo electrónico</w:t>
      </w:r>
      <w:r w:rsidR="00B16F31" w:rsidRPr="00B16F31">
        <w:rPr>
          <w:rFonts w:ascii="Times New Roman" w:eastAsia="Times New Roman" w:hAnsi="Times New Roman" w:cs="Times New Roman"/>
          <w:lang w:val="es-CL"/>
        </w:rPr>
        <w:t xml:space="preserve"> </w:t>
      </w:r>
      <w:r w:rsidR="00B16F31" w:rsidRPr="00B16F31">
        <w:rPr>
          <w:rFonts w:ascii="Times New Roman" w:eastAsia="Times New Roman" w:hAnsi="Times New Roman" w:cs="Times New Roman"/>
          <w:color w:val="000000"/>
          <w:lang w:val="es-CL"/>
        </w:rPr>
        <w:t>derechojudicial@ulagos.cl</w:t>
      </w:r>
      <w:r>
        <w:rPr>
          <w:rFonts w:ascii="Times New Roman" w:eastAsia="Times New Roman" w:hAnsi="Times New Roman" w:cs="Times New Roman"/>
          <w:color w:val="000000"/>
        </w:rPr>
        <w:t>.</w:t>
      </w:r>
    </w:p>
    <w:p w14:paraId="0D389584" w14:textId="77777777" w:rsidR="00FC5C99" w:rsidRDefault="00FC5C99">
      <w:pPr>
        <w:pBdr>
          <w:top w:val="nil"/>
          <w:left w:val="nil"/>
          <w:bottom w:val="nil"/>
          <w:right w:val="nil"/>
          <w:between w:val="nil"/>
        </w:pBdr>
        <w:ind w:firstLine="720"/>
        <w:jc w:val="both"/>
        <w:rPr>
          <w:rFonts w:ascii="Times New Roman" w:eastAsia="Times New Roman" w:hAnsi="Times New Roman" w:cs="Times New Roman"/>
        </w:rPr>
      </w:pPr>
    </w:p>
    <w:p w14:paraId="4ECCA87E" w14:textId="77777777" w:rsidR="00FC5C99" w:rsidRDefault="00FC5C99">
      <w:pPr>
        <w:jc w:val="both"/>
        <w:rPr>
          <w:rFonts w:ascii="Times New Roman" w:eastAsia="Times New Roman" w:hAnsi="Times New Roman" w:cs="Times New Roman"/>
          <w:b/>
          <w:bCs/>
        </w:rPr>
      </w:pPr>
    </w:p>
    <w:p w14:paraId="1C68C4D0" w14:textId="77777777" w:rsidR="00FC5C99" w:rsidRDefault="00000000">
      <w:pPr>
        <w:jc w:val="both"/>
        <w:rPr>
          <w:rFonts w:ascii="Times New Roman" w:eastAsia="Times New Roman" w:hAnsi="Times New Roman" w:cs="Times New Roman"/>
        </w:rPr>
      </w:pPr>
      <w:r>
        <w:rPr>
          <w:rFonts w:ascii="Times New Roman" w:eastAsia="Times New Roman" w:hAnsi="Times New Roman" w:cs="Times New Roman"/>
          <w:b/>
          <w:bCs/>
        </w:rPr>
        <w:tab/>
      </w:r>
      <w:r>
        <w:rPr>
          <w:rFonts w:ascii="Times New Roman" w:eastAsia="Times New Roman" w:hAnsi="Times New Roman" w:cs="Times New Roman"/>
        </w:rPr>
        <w:t>*Las instrucciones específicas para el envío de propuestas de discusión de organizaciones de la Sociedad Civil constan en un documento específico para ello, disponible en el sitio web de las jornadas.</w:t>
      </w:r>
    </w:p>
    <w:p w14:paraId="7A532DA2" w14:textId="77777777" w:rsidR="00FC5C99" w:rsidRDefault="00FC5C99">
      <w:pPr>
        <w:jc w:val="both"/>
        <w:rPr>
          <w:rFonts w:ascii="Times New Roman" w:eastAsia="Times New Roman" w:hAnsi="Times New Roman" w:cs="Times New Roman"/>
          <w:b/>
          <w:bCs/>
        </w:rPr>
      </w:pPr>
    </w:p>
    <w:p w14:paraId="640AAA64" w14:textId="77777777" w:rsidR="00FC5C99" w:rsidRDefault="00FC5C99"/>
    <w:sectPr w:rsidR="00FC5C99">
      <w:headerReference w:type="default" r:id="rId7"/>
      <w:footerReference w:type="even" r:id="rId8"/>
      <w:footerReference w:type="default" r:id="rId9"/>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C5D68" w14:textId="77777777" w:rsidR="00B43CCB" w:rsidRDefault="00B43CCB">
      <w:r>
        <w:separator/>
      </w:r>
    </w:p>
  </w:endnote>
  <w:endnote w:type="continuationSeparator" w:id="0">
    <w:p w14:paraId="6CD3C87F" w14:textId="77777777" w:rsidR="00B43CCB" w:rsidRDefault="00B43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embedRegular r:id="rId1" w:fontKey="{22BC5483-B627-4B43-8B9A-5DD80D1543D6}"/>
    <w:embedItalic r:id="rId2" w:fontKey="{6C9E25D2-690D-6A41-8C4B-FBC5041B106F}"/>
  </w:font>
  <w:font w:name="Play">
    <w:panose1 w:val="020B0604020202020204"/>
    <w:charset w:val="00"/>
    <w:family w:val="auto"/>
    <w:pitch w:val="default"/>
    <w:embedRegular r:id="rId3" w:fontKey="{154B8A41-B098-C148-B208-89D050DD88F8}"/>
  </w:font>
  <w:font w:name="Times New Roman">
    <w:panose1 w:val="02020603050405020304"/>
    <w:charset w:val="00"/>
    <w:family w:val="roman"/>
    <w:pitch w:val="variable"/>
    <w:sig w:usb0="E0002EFF" w:usb1="C000785B" w:usb2="00000009" w:usb3="00000000" w:csb0="000001FF" w:csb1="00000000"/>
    <w:embedRegular r:id="rId4" w:fontKey="{60DA90B8-5562-7C45-9B34-DF7B0584D1E2}"/>
    <w:embedBold r:id="rId5" w:fontKey="{F7BFF041-7CFF-B847-A6F0-389DFDDE6BB5}"/>
  </w:font>
  <w:font w:name="Cambria">
    <w:panose1 w:val="02040503050406030204"/>
    <w:charset w:val="00"/>
    <w:family w:val="roman"/>
    <w:pitch w:val="variable"/>
    <w:sig w:usb0="E00002FF" w:usb1="400004FF" w:usb2="00000000" w:usb3="00000000" w:csb0="0000019F" w:csb1="00000000"/>
    <w:embedRegular r:id="rId6" w:fontKey="{3071E89B-0FEF-AC4C-A35D-D7367632DFA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2FCE" w14:textId="77777777" w:rsidR="00FC5C99" w:rsidRDefault="00000000">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895DC3D" w14:textId="77777777" w:rsidR="00FC5C99" w:rsidRDefault="00FC5C99">
    <w:pPr>
      <w:pBdr>
        <w:top w:val="nil"/>
        <w:left w:val="nil"/>
        <w:bottom w:val="nil"/>
        <w:right w:val="nil"/>
        <w:between w:val="nil"/>
      </w:pBdr>
      <w:tabs>
        <w:tab w:val="center" w:pos="4252"/>
        <w:tab w:val="right" w:pos="8504"/>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C9A8B" w14:textId="77777777" w:rsidR="00FC5C99" w:rsidRDefault="00000000">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sidR="00B16F31">
      <w:rPr>
        <w:noProof/>
        <w:color w:val="000000"/>
      </w:rPr>
      <w:t>1</w:t>
    </w:r>
    <w:r>
      <w:rPr>
        <w:color w:val="000000"/>
      </w:rPr>
      <w:fldChar w:fldCharType="end"/>
    </w:r>
  </w:p>
  <w:p w14:paraId="5CB19ACA" w14:textId="77777777" w:rsidR="00FC5C99" w:rsidRDefault="00FC5C99">
    <w:pPr>
      <w:pBdr>
        <w:top w:val="nil"/>
        <w:left w:val="nil"/>
        <w:bottom w:val="nil"/>
        <w:right w:val="nil"/>
        <w:between w:val="nil"/>
      </w:pBdr>
      <w:tabs>
        <w:tab w:val="center" w:pos="4252"/>
        <w:tab w:val="right" w:pos="8504"/>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6202C" w14:textId="77777777" w:rsidR="00B43CCB" w:rsidRDefault="00B43CCB">
      <w:r>
        <w:separator/>
      </w:r>
    </w:p>
  </w:footnote>
  <w:footnote w:type="continuationSeparator" w:id="0">
    <w:p w14:paraId="7B769411" w14:textId="77777777" w:rsidR="00B43CCB" w:rsidRDefault="00B43C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A3027" w14:textId="77777777" w:rsidR="00FC5C99" w:rsidRDefault="00000000">
    <w:r>
      <w:rPr>
        <w:noProof/>
      </w:rPr>
      <w:drawing>
        <wp:inline distT="114300" distB="114300" distL="114300" distR="114300" wp14:anchorId="25BB5E47" wp14:editId="201C8D9B">
          <wp:extent cx="1410653" cy="601061"/>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410653" cy="601061"/>
                  </a:xfrm>
                  <a:prstGeom prst="rect">
                    <a:avLst/>
                  </a:prstGeom>
                  <a:ln/>
                </pic:spPr>
              </pic:pic>
            </a:graphicData>
          </a:graphic>
        </wp:inline>
      </w:drawing>
    </w:r>
    <w:r>
      <w:t xml:space="preserve">                      </w:t>
    </w:r>
    <w:r>
      <w:rPr>
        <w:rFonts w:ascii="Times New Roman" w:eastAsia="Times New Roman" w:hAnsi="Times New Roman" w:cs="Times New Roman"/>
        <w:b/>
        <w:bCs/>
        <w:noProof/>
      </w:rPr>
      <w:drawing>
        <wp:inline distT="114300" distB="114300" distL="114300" distR="114300" wp14:anchorId="0271358D" wp14:editId="4C200537">
          <wp:extent cx="721042" cy="721042"/>
          <wp:effectExtent l="0" t="0" r="0" b="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
                  <a:srcRect/>
                  <a:stretch>
                    <a:fillRect/>
                  </a:stretch>
                </pic:blipFill>
                <pic:spPr>
                  <a:xfrm>
                    <a:off x="0" y="0"/>
                    <a:ext cx="721042" cy="721042"/>
                  </a:xfrm>
                  <a:prstGeom prst="rect">
                    <a:avLst/>
                  </a:prstGeom>
                  <a:ln/>
                </pic:spPr>
              </pic:pic>
            </a:graphicData>
          </a:graphic>
        </wp:inline>
      </w:drawing>
    </w:r>
    <w:r>
      <w:rPr>
        <w:noProof/>
      </w:rPr>
      <w:drawing>
        <wp:anchor distT="0" distB="0" distL="0" distR="0" simplePos="0" relativeHeight="251658240" behindDoc="1" locked="0" layoutInCell="1" hidden="0" allowOverlap="1" wp14:anchorId="0374E228" wp14:editId="3614D47A">
          <wp:simplePos x="0" y="0"/>
          <wp:positionH relativeFrom="column">
            <wp:posOffset>3971925</wp:posOffset>
          </wp:positionH>
          <wp:positionV relativeFrom="paragraph">
            <wp:posOffset>66675</wp:posOffset>
          </wp:positionV>
          <wp:extent cx="1305878" cy="385628"/>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3"/>
                  <a:srcRect/>
                  <a:stretch>
                    <a:fillRect/>
                  </a:stretch>
                </pic:blipFill>
                <pic:spPr>
                  <a:xfrm>
                    <a:off x="0" y="0"/>
                    <a:ext cx="1305878" cy="38562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23D00"/>
    <w:multiLevelType w:val="multilevel"/>
    <w:tmpl w:val="E89667B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123511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5C99"/>
    <w:rsid w:val="002F192D"/>
    <w:rsid w:val="00B16F31"/>
    <w:rsid w:val="00B43CCB"/>
    <w:rsid w:val="00FC5C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358F218"/>
  <w15:docId w15:val="{3921B1A4-4CA9-F042-8801-15A93F697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Play" w:eastAsia="Play" w:hAnsi="Play" w:cs="Play"/>
      <w:sz w:val="56"/>
      <w:szCs w:val="56"/>
    </w:rPr>
  </w:style>
  <w:style w:type="paragraph" w:styleId="Subttulo">
    <w:name w:val="Subtitle"/>
    <w:basedOn w:val="Normal"/>
    <w:next w:val="Normal"/>
    <w:uiPriority w:val="11"/>
    <w:qFormat/>
    <w:rPr>
      <w:color w:val="595959"/>
      <w:sz w:val="28"/>
      <w:szCs w:val="28"/>
    </w:rPr>
  </w:style>
  <w:style w:type="paragraph" w:styleId="Encabezado">
    <w:name w:val="header"/>
    <w:basedOn w:val="Normal"/>
    <w:link w:val="EncabezadoCar"/>
    <w:uiPriority w:val="99"/>
    <w:unhideWhenUsed/>
    <w:rsid w:val="00B16F31"/>
    <w:pPr>
      <w:tabs>
        <w:tab w:val="center" w:pos="4252"/>
        <w:tab w:val="right" w:pos="8504"/>
      </w:tabs>
    </w:pPr>
  </w:style>
  <w:style w:type="character" w:customStyle="1" w:styleId="EncabezadoCar">
    <w:name w:val="Encabezado Car"/>
    <w:basedOn w:val="Fuentedeprrafopredeter"/>
    <w:link w:val="Encabezado"/>
    <w:uiPriority w:val="99"/>
    <w:rsid w:val="00B16F31"/>
  </w:style>
  <w:style w:type="paragraph" w:styleId="Piedepgina">
    <w:name w:val="footer"/>
    <w:basedOn w:val="Normal"/>
    <w:link w:val="PiedepginaCar"/>
    <w:uiPriority w:val="99"/>
    <w:unhideWhenUsed/>
    <w:rsid w:val="00B16F31"/>
    <w:pPr>
      <w:tabs>
        <w:tab w:val="center" w:pos="4252"/>
        <w:tab w:val="right" w:pos="8504"/>
      </w:tabs>
    </w:pPr>
  </w:style>
  <w:style w:type="character" w:customStyle="1" w:styleId="PiedepginaCar">
    <w:name w:val="Pie de página Car"/>
    <w:basedOn w:val="Fuentedeprrafopredeter"/>
    <w:link w:val="Piedepgina"/>
    <w:uiPriority w:val="99"/>
    <w:rsid w:val="00B16F31"/>
  </w:style>
  <w:style w:type="character" w:styleId="Hipervnculo">
    <w:name w:val="Hyperlink"/>
    <w:basedOn w:val="Fuentedeprrafopredeter"/>
    <w:uiPriority w:val="99"/>
    <w:unhideWhenUsed/>
    <w:rsid w:val="00B16F31"/>
    <w:rPr>
      <w:color w:val="0000FF" w:themeColor="hyperlink"/>
      <w:u w:val="single"/>
    </w:rPr>
  </w:style>
  <w:style w:type="character" w:styleId="Mencinsinresolver">
    <w:name w:val="Unresolved Mention"/>
    <w:basedOn w:val="Fuentedeprrafopredeter"/>
    <w:uiPriority w:val="99"/>
    <w:semiHidden/>
    <w:unhideWhenUsed/>
    <w:rsid w:val="00B16F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618</Words>
  <Characters>3405</Characters>
  <Application>Microsoft Office Word</Application>
  <DocSecurity>0</DocSecurity>
  <Lines>28</Lines>
  <Paragraphs>8</Paragraphs>
  <ScaleCrop>false</ScaleCrop>
  <Company/>
  <LinksUpToDate>false</LinksUpToDate>
  <CharactersWithSpaces>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Víctor García Yzaguirre</cp:lastModifiedBy>
  <cp:revision>2</cp:revision>
  <dcterms:created xsi:type="dcterms:W3CDTF">2026-06-05T19:41:00Z</dcterms:created>
  <dcterms:modified xsi:type="dcterms:W3CDTF">2026-06-05T19:45:00Z</dcterms:modified>
</cp:coreProperties>
</file>